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94 vom 8. April 2026</w:t>
      </w:r>
    </w:p>
    <w:p>
      <w:r>
        <w:t>FR Kantonsgericht, 2026-04-08, DE</w:t>
      </w:r>
    </w:p>
    <w:p>
      <w:r>
        <w:rPr>
          <w:b/>
        </w:rPr>
        <w:t xml:space="preserve">Quelle: </w:t>
      </w:r>
      <w:r>
        <w:t>https://mcp.opencaselaw.ch/entscheid/fr_gerichte_102 2026 94</w:t>
      </w:r>
    </w:p>
    <w:p>
      <w:r>
        <w:t>FR: FR_GERICHTE 102 2026 94 du 8 avril 2026</w:t>
      </w:r>
    </w:p>
    <w:p>
      <w:r>
        <w:t>IT: FR_GERICHTE 102 2026 94 del 8 aprile 2026</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des Gerichtspräsidenten des Seebezirks vom 16. März 2026 wurde dem Beschwerdeführer mit eingeschriebener Sendung frühestens am 17. März 2026 zugestellt, so dass die am 25. März 2026 eingereichte Beschwerde fristgerecht erfolgte. Die Beschwerde enthält eine Begründung und Rechtsbegehren. Auf die Beschwerde ist somit einzutreten.</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 setzungen echte Noven (Abs. 2) vorbringen.</w:t>
      </w:r>
    </w:p>
    <w:p>
      <w:r>
        <w:rPr>
          <w:b/>
        </w:rPr>
        <w:t>E. 1.3</w:t>
      </w:r>
    </w:p>
    <w:p>
      <w:r>
        <w:t>Die Rechtsmittelinstanz kann aufgrund der Akten entscheiden (Art. 327 Abs. 2 ZPO).</w:t>
      </w:r>
    </w:p>
    <w:p>
      <w:r>
        <w:t>Kantonsgericht KG Seite 3 von 5</w:t>
      </w:r>
    </w:p>
    <w:p>
      <w:r>
        <w:rPr>
          <w:b/>
        </w:rPr>
        <w:t>E. 1.4</w:t>
      </w:r>
    </w:p>
    <w:p>
      <w:r>
        <w:t>Der Beschwerdeführer bringt vor, dass der angefochtene Entscheid keine Rechtsmittelbelehrung enthalte und somit verfahrensrechtlich mangelhaft sei. Die Prüfung des Mangels und dessen Konsequenzen würden dem Gericht anheimgestellt. Ungeachtet dessen werde die Beschwerde fristgerecht erhoben. Mit dem Beschwerdeführer ist festzustellen, dass der Entscheid vom 16. März 2026 keine Rechtsmittelbelehrung enthält und somit mangelhaft ist, da gemäss Art. 238 Bst. f ZPO die Entscheide eine Rechtsmittelbelehrung enthalten müssen. Der Beschwerdeführer hat die Beschwerde trotz fehlender Rechtsmittelbelehrung fristgerecht bei der richtigen Behörde eingereicht. Der Mangel hat ihm folglich nicht zum Nachteil gereicht, so dass es bei der Feststellung des Mangels bleiben kann.</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 Zu tilgen ist die betriebene Forderung inkl. sämtlicher Kosten. Hinzukommen die Kosten des Konkursgerichts.</w:t>
      </w:r>
    </w:p>
    <w:p>
      <w:r>
        <w:rPr>
          <w:b/>
        </w:rPr>
        <w:t>E. 2.2</w:t>
      </w:r>
    </w:p>
    <w:p>
      <w:r>
        <w:t>Der Schuldner hat die Zahlungsfähigkeit mit der Beschwerde glaubhaft zu machen und mit dieser sind auch die Urkunden für den Beweis der Konkursaufhebungsgründe im Sinne von Ziff. 1-</w:t>
      </w:r>
    </w:p>
    <w:p>
      <w:r>
        <w:rPr>
          <w:b/>
        </w:rPr>
        <w:t>E. 3</w:t>
      </w:r>
    </w:p>
    <w:p>
      <w:r>
        <w:t>einzureichen (BGE 139 III 491 E. 4). Für die Konkurshinderungsgründe gemäss Art. 174 Abs. 2 Ziff. 1-3 SchKG muss folgerichtig gelten, was für das Beibringen der Urkunden zu ihrem Beweis gilt. Konkurshinderungsgründe sind gemäss Art. 174 SchKG nur zu berücksichtigen, wenn sie sich innert der Rechtsmittelfrist verwirklicht haben und geltend gemacht werden (BGE 136 III 294 E. 3.2). Glaubhaft gemacht ist eine Tatsache dann, wenn für deren Vorhandensein gewisse Elemente sprechen, selbst wenn das Gericht noch mit der Möglichkeit rechnet, dass sie sich nicht verwirklicht haben könnte (BGE 140 III 610 E. 4.1 mit Hinweis). Im Hinblick auf die Aufhebung der Konkurs- eröffnung heisst dies, dass die Zahlungsfähigkeit des Konkursiten wahrscheinlicher sein muss als seine Zahlungsunfähigkeit. In diesem Bereich dürfen keine zu strengen Anforderungen gestellt werden, insbesondere wenn die wirtschaftliche Überlebensfähigkeit des schuldnerischen Unterneh- mens nicht von vornherein ausgeschlossen werden kann. Auch wenn der Schuldner die Zahlungsfähigkeit nicht strikt beweisen, sondern nur glaubhaft machen muss, so genügen seine Behauptungen allein nicht. Es liegt am Schuldner, Beweismittel vorzulegen, die geeignet sind, seine Zahlungsfähigkeit als glaubhaft erscheinen zu lassen. Der Schuldner muss insbesondere nachweisen, dass gegen ihn kein Konkursbegehren in einer ordentlichen Konkurs- oder in einer Wechselbetreibung hängig ist und dass keine weiteren vollstreckbaren Betreibungen vorliegen (Urteil BGer 5A_918/2020 vom 26. März 2021 E. 4.1 mit Hinweisen). Zahlungsfähig ist der Schuldner, wenn er über ausreichende liquide Mittel zur Begleichung der fälligen Schulden verfügt. Bloss vorübergehende Zahlungsschwierigkeiten lassen einen Schuldner noch nicht als zahlungsunfähig erscheinen, ausser wenn keine wesentlichen Anhaltspunkte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bezahlt. Die Beurteilung beruht auf einem aufgrund der Zahlungsgewohnheiten eines Konkursiten gewonnenen Gesamteindruck (Urteil BGer 5A_108/2021 vom 29. September 2021).</w:t>
      </w:r>
    </w:p>
    <w:p>
      <w:r>
        <w:t>Kantonsgericht KG Seite 4 von 5</w:t>
      </w:r>
    </w:p>
    <w:p>
      <w:r>
        <w:rPr>
          <w:b/>
        </w:rPr>
        <w:t>E. 3.1</w:t>
      </w:r>
    </w:p>
    <w:p>
      <w:r>
        <w:t>Vorliegend ist festzustellen, dass der Beschwerdeführer mit der Anzahlung von CHF 500.- und der Überweisung des Betrages von CHF 2’286.05 an die Kasse des Kantonsgerichts, die Forderung, welche Gegenstand des Konkursverfahrens bildet, inkl. Zinsen und Kosten, innert der Beschwerdefrist vollständig getilgt hat. Somit ist die erste Voraussetzung gemäss Art. 174 Abs. 2 SchkG erfüllt.</w:t>
      </w:r>
    </w:p>
    <w:p>
      <w:r>
        <w:rPr>
          <w:b/>
        </w:rPr>
        <w:t>E. 3.2</w:t>
      </w:r>
    </w:p>
    <w:p>
      <w:r>
        <w:t>Was die Zahlungsfähigkeit anbelangt, so begnügt sich der Beschwerdeführer mit dem Hinweis, dass er seit dem 15. Februar 2026 über einen befristeten Arbeitsvertrag verfüge und sich seine wirtschaftlichen Verhältnisse seit dem Erlass des angefochtenen Entscheids wesentlich und nachhaltig verbessert hätten. Dies genügt jedoch nicht, um seine Zahlungsfähigkeit glaubhaft zu machen. Zudem ist dem von Amtes wegen beigezogenem Auszug des Betreibungsregisters vom 27. März 2026 zu entnehmen, dass sich weitere acht Betreibungen im Umfang von rund CHF 8'000.- im Stadium der Konkursandrohung befinden. Es ist demnach davon auszugehen, dass sich der Beschwerdeführer nicht nur vorübergehend in einer finanziellen Zwangslage befindet. Die Beschwerde ist deshalb abzuweisen und der Konkursentscheid vom 16. März 2026 zu bestätigen. Mit dem Entscheid in der Sache wird das Gesuch um aufschiebende Wirkung gegenstandslos.</w:t>
      </w:r>
    </w:p>
    <w:p>
      <w:r>
        <w:rPr>
          <w:b/>
        </w:rPr>
        <w:t>E. 4</w:t>
      </w:r>
    </w:p>
    <w:p>
      <w:r>
        <w:t>Der Beschwerdeführer wird auf die Möglichkeit eines Widerrufs des Konkurses hingewiesen (Art. 195 SchKG).</w:t>
      </w:r>
    </w:p>
    <w:p>
      <w:r>
        <w:rPr>
          <w:b/>
        </w:rPr>
        <w:t>E. 5</w:t>
      </w:r>
    </w:p>
    <w:p>
      <w:r>
        <w:t>Die Prozesskosten des Beschwerdeverfahrens werden dem unterliegenden Beschwerdeführer auferlegt. Die Gerichtsgebühr ist pauschal auf CHF 500.- festzusetzen (Art. 52 und 61 Abs. 1 GebV SchKG). Es wurde gemäss Art. 322 Abs. 1 ZPO keine Vernehmlassung eingeholt und der Gegenpartei sind keine weiteren Umstände entstanden; es ist somit keine Parteientschädigung zuzusprechen. (Dispositiv auf nachfolgender Seite)</w:t>
      </w:r>
    </w:p>
    <w:p>
      <w:r>
        <w:t>Kantonsgericht KG Seite 5 von 5 Der Hof erkennt: I. Die Beschwerde wird abgewiesen. Der Konkursentscheid des Präsidenten des Zivilgerichts des Seebezirks vom 16. März 2026 wird bestätigt. Das Gesuch um aufschiebende Wirkung ist gegenstandslos. II. Die Gerichtskosten für das Beschwerdeverfahren werden auf CHF 500.- festgesetzt und A.________ auferlegt. Es werden keine Parteientschädigungen zugesprochen. III. Die Anzahlung von CHF 500.- und der hinterlegte Betrag von CHF 2'286.05 werden unverzüglich dem Konkursamt überwiesen.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8. April 2026/mdu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